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0062377F" w:rsidR="009F5A69" w:rsidRDefault="009F5A69" w:rsidP="009F5A69">
      <w:pPr>
        <w:pStyle w:val="3GPPHeader"/>
        <w:spacing w:after="60"/>
        <w:rPr>
          <w:sz w:val="32"/>
          <w:szCs w:val="32"/>
          <w:lang w:val="de-DE"/>
        </w:rPr>
      </w:pPr>
      <w:r>
        <w:rPr>
          <w:lang w:val="de-DE"/>
        </w:rPr>
        <w:t>3GPP TSG-RAN WG2 #11</w:t>
      </w:r>
      <w:r w:rsidR="00405A94">
        <w:rPr>
          <w:lang w:val="de-DE"/>
        </w:rPr>
        <w:t>9</w:t>
      </w:r>
      <w:r w:rsidR="008054A3">
        <w:rPr>
          <w:lang w:val="de-DE"/>
        </w:rPr>
        <w:t>-bis-e</w:t>
      </w:r>
      <w:r>
        <w:rPr>
          <w:lang w:val="de-DE"/>
        </w:rPr>
        <w:tab/>
      </w:r>
      <w:r>
        <w:rPr>
          <w:sz w:val="32"/>
          <w:szCs w:val="32"/>
          <w:lang w:val="de-DE"/>
        </w:rPr>
        <w:t xml:space="preserve">Tdoc </w:t>
      </w:r>
      <w:r w:rsidR="0054291C" w:rsidRPr="0054291C">
        <w:rPr>
          <w:sz w:val="32"/>
          <w:szCs w:val="32"/>
          <w:lang w:val="de-DE"/>
        </w:rPr>
        <w:t>R2-2210255</w:t>
      </w:r>
    </w:p>
    <w:p w14:paraId="0B9CA2F7" w14:textId="26AD2A9F" w:rsidR="00E90E49" w:rsidRPr="00CE0424" w:rsidRDefault="00C40FA7" w:rsidP="009F5A69">
      <w:pPr>
        <w:pStyle w:val="3GPPHeader"/>
      </w:pPr>
      <w:r w:rsidRPr="00C40FA7">
        <w:rPr>
          <w:rFonts w:cs="Arial"/>
          <w:szCs w:val="24"/>
        </w:rPr>
        <w:t xml:space="preserve">Electronic meeting, </w:t>
      </w:r>
      <w:r w:rsidR="0070665F">
        <w:rPr>
          <w:rFonts w:cs="Arial"/>
          <w:szCs w:val="24"/>
        </w:rPr>
        <w:t>October</w:t>
      </w:r>
      <w:r w:rsidRPr="00C40FA7">
        <w:rPr>
          <w:rFonts w:cs="Arial"/>
          <w:szCs w:val="24"/>
        </w:rPr>
        <w:t xml:space="preserve"> </w:t>
      </w:r>
      <w:r w:rsidR="008807DC">
        <w:rPr>
          <w:rFonts w:cs="Arial"/>
          <w:szCs w:val="24"/>
        </w:rPr>
        <w:t>1</w:t>
      </w:r>
      <w:r w:rsidR="00F03379">
        <w:rPr>
          <w:rFonts w:cs="Arial"/>
          <w:szCs w:val="24"/>
        </w:rPr>
        <w:t>0</w:t>
      </w:r>
      <w:r w:rsidRPr="00C40FA7">
        <w:rPr>
          <w:rFonts w:cs="Arial"/>
          <w:szCs w:val="24"/>
        </w:rPr>
        <w:t xml:space="preserve"> –</w:t>
      </w:r>
      <w:r w:rsidR="00F03379">
        <w:rPr>
          <w:rFonts w:cs="Arial"/>
          <w:szCs w:val="24"/>
        </w:rPr>
        <w:t>19</w:t>
      </w:r>
      <w:r w:rsidRPr="00C40FA7">
        <w:rPr>
          <w:rFonts w:cs="Arial"/>
          <w:szCs w:val="24"/>
        </w:rPr>
        <w:t>, 2022</w:t>
      </w:r>
      <w:r w:rsidR="00B00DF5">
        <w:rPr>
          <w:rFonts w:cs="Arial"/>
          <w:szCs w:val="24"/>
        </w:rPr>
        <w:t xml:space="preserve">       </w:t>
      </w:r>
      <w:r w:rsidR="009F5A69">
        <w:rPr>
          <w:rFonts w:cs="Arial"/>
          <w:bCs/>
          <w:noProof/>
          <w:szCs w:val="24"/>
          <w:lang w:eastAsia="ko-KR"/>
        </w:rPr>
        <w:t xml:space="preserve">     </w:t>
      </w:r>
      <w:r w:rsidR="008261F7">
        <w:rPr>
          <w:rFonts w:cs="Arial"/>
          <w:bCs/>
          <w:noProof/>
          <w:szCs w:val="24"/>
          <w:lang w:eastAsia="ko-KR"/>
        </w:rPr>
        <w:t xml:space="preserve">       </w:t>
      </w:r>
      <w:r w:rsidR="00FB7C1F">
        <w:tab/>
      </w:r>
    </w:p>
    <w:p w14:paraId="7CE64FCB" w14:textId="14331060"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E1326B" w:rsidRPr="008C63E5">
        <w:rPr>
          <w:sz w:val="22"/>
          <w:szCs w:val="22"/>
          <w:lang w:val="en-US"/>
        </w:rPr>
        <w:t>8</w:t>
      </w:r>
      <w:r w:rsidR="008548BB" w:rsidRPr="008C63E5">
        <w:rPr>
          <w:sz w:val="22"/>
          <w:szCs w:val="22"/>
          <w:lang w:val="en-US"/>
        </w:rPr>
        <w:t>.</w:t>
      </w:r>
      <w:r w:rsidR="00E1326B" w:rsidRPr="008C63E5">
        <w:rPr>
          <w:sz w:val="22"/>
          <w:szCs w:val="22"/>
          <w:lang w:val="en-US"/>
        </w:rPr>
        <w:t>3</w:t>
      </w:r>
      <w:r w:rsidR="008548BB" w:rsidRPr="008C63E5">
        <w:rPr>
          <w:sz w:val="22"/>
          <w:szCs w:val="22"/>
          <w:lang w:val="en-US"/>
        </w:rPr>
        <w:t>.</w:t>
      </w:r>
      <w:r w:rsidR="00E1326B" w:rsidRPr="008C63E5">
        <w:rPr>
          <w:sz w:val="22"/>
          <w:szCs w:val="22"/>
          <w:lang w:val="en-US"/>
        </w:rPr>
        <w:t>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396D8AD7" w:rsidR="00E854C4" w:rsidRDefault="003D3C45" w:rsidP="00D546FF">
      <w:pPr>
        <w:pStyle w:val="3GPPHeader"/>
        <w:rPr>
          <w:sz w:val="22"/>
          <w:szCs w:val="22"/>
        </w:rPr>
      </w:pPr>
      <w:r>
        <w:rPr>
          <w:sz w:val="22"/>
          <w:szCs w:val="22"/>
        </w:rPr>
        <w:t>Title:</w:t>
      </w:r>
      <w:r w:rsidR="00E90E49" w:rsidRPr="00CE0424">
        <w:rPr>
          <w:sz w:val="22"/>
          <w:szCs w:val="22"/>
        </w:rPr>
        <w:tab/>
      </w:r>
      <w:r w:rsidR="002B1C9E" w:rsidRPr="002B1C9E">
        <w:rPr>
          <w:sz w:val="22"/>
          <w:szCs w:val="22"/>
        </w:rPr>
        <w:t xml:space="preserve">Handling of </w:t>
      </w:r>
      <w:r w:rsidR="00F168DF">
        <w:rPr>
          <w:sz w:val="22"/>
          <w:szCs w:val="22"/>
        </w:rPr>
        <w:t>L</w:t>
      </w:r>
      <w:r w:rsidR="002B1C9E" w:rsidRPr="002B1C9E">
        <w:rPr>
          <w:sz w:val="22"/>
          <w:szCs w:val="22"/>
        </w:rPr>
        <w:t xml:space="preserve">egacy UEs on </w:t>
      </w:r>
      <w:r w:rsidR="00F168DF">
        <w:rPr>
          <w:sz w:val="22"/>
          <w:szCs w:val="22"/>
        </w:rPr>
        <w:t xml:space="preserve">a </w:t>
      </w:r>
      <w:r w:rsidR="002B1C9E" w:rsidRPr="002B1C9E">
        <w:rPr>
          <w:sz w:val="22"/>
          <w:szCs w:val="22"/>
        </w:rPr>
        <w:t xml:space="preserve">NES </w:t>
      </w:r>
      <w:r w:rsidR="00F168DF">
        <w:rPr>
          <w:sz w:val="22"/>
          <w:szCs w:val="22"/>
        </w:rPr>
        <w:t>C</w:t>
      </w:r>
      <w:r w:rsidR="002B1C9E" w:rsidRPr="002B1C9E">
        <w:rPr>
          <w:sz w:val="22"/>
          <w:szCs w:val="22"/>
        </w:rPr>
        <w:t>apable Cell</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13BFF2ED" w14:textId="24798975" w:rsidR="001D59E2" w:rsidRDefault="001D59E2" w:rsidP="001D59E2">
      <w:pPr>
        <w:pStyle w:val="BodyText"/>
      </w:pPr>
      <w:bookmarkStart w:id="0" w:name="_Ref178064866"/>
      <w:r>
        <w:t xml:space="preserve">In RAN WG2 Meeting #119-e </w:t>
      </w:r>
      <w:r>
        <w:fldChar w:fldCharType="begin"/>
      </w:r>
      <w:r>
        <w:instrText xml:space="preserve"> REF _Ref115105339 \r \h </w:instrText>
      </w:r>
      <w:r>
        <w:fldChar w:fldCharType="separate"/>
      </w:r>
      <w:r>
        <w:t>[1]</w:t>
      </w:r>
      <w:r>
        <w:fldChar w:fldCharType="end"/>
      </w:r>
      <w:r>
        <w:fldChar w:fldCharType="begin"/>
      </w:r>
      <w:r>
        <w:instrText xml:space="preserve"> REF _Ref115105112 \r \h </w:instrText>
      </w:r>
      <w:r w:rsidR="009B04E5">
        <w:fldChar w:fldCharType="separate"/>
      </w:r>
      <w:r>
        <w:fldChar w:fldCharType="end"/>
      </w:r>
      <w:r>
        <w:t xml:space="preserve">, cell prioritization for legacy UEs was discussed and listed as one </w:t>
      </w:r>
      <w:r w:rsidR="00490080">
        <w:t xml:space="preserve">of </w:t>
      </w:r>
      <w:r>
        <w:t xml:space="preserve">the network energy savings (NES) technique candidates for further study: </w:t>
      </w:r>
    </w:p>
    <w:p w14:paraId="45D7192E" w14:textId="77777777" w:rsidR="001D59E2" w:rsidRDefault="001D59E2" w:rsidP="001D59E2">
      <w:pPr>
        <w:pStyle w:val="Doc-text2"/>
        <w:pBdr>
          <w:top w:val="single" w:sz="4" w:space="1" w:color="auto"/>
          <w:left w:val="single" w:sz="4" w:space="4" w:color="auto"/>
          <w:bottom w:val="single" w:sz="4" w:space="1" w:color="auto"/>
          <w:right w:val="single" w:sz="4" w:space="4" w:color="auto"/>
        </w:pBdr>
        <w:rPr>
          <w:b/>
          <w:bCs/>
        </w:rPr>
      </w:pPr>
      <w:r>
        <w:rPr>
          <w:b/>
          <w:bCs/>
        </w:rPr>
        <w:t>Solution groups:</w:t>
      </w:r>
    </w:p>
    <w:p w14:paraId="67EDE48E" w14:textId="77777777" w:rsidR="001D59E2" w:rsidRDefault="001D59E2" w:rsidP="001D59E2">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Adaption of MIB/SSB/SIB </w:t>
      </w:r>
    </w:p>
    <w:p w14:paraId="2C661C8A" w14:textId="77777777" w:rsidR="001D59E2" w:rsidRDefault="001D59E2" w:rsidP="001D59E2">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6461A4C2"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10FAA363"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7A5AB892"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ab/>
        <w:t>- FFS for on-demand MIB</w:t>
      </w:r>
    </w:p>
    <w:p w14:paraId="0567AE4E"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7596A426"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5</w:t>
      </w:r>
      <w:r>
        <w:tab/>
        <w:t>Handover/Fast PCell change for NES</w:t>
      </w:r>
    </w:p>
    <w:p w14:paraId="2F244064"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ab/>
        <w:t>- CHO or new configuration</w:t>
      </w:r>
    </w:p>
    <w:p w14:paraId="1CC6F61A"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ab/>
        <w:t>- group HO</w:t>
      </w:r>
    </w:p>
    <w:p w14:paraId="17DBF8A6"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6CDEAA6E"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353D2BA8"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ab/>
        <w:t xml:space="preserve">- </w:t>
      </w:r>
      <w:r w:rsidRPr="002D4A27">
        <w:t>cell DTX/DRX</w:t>
      </w:r>
      <w:r>
        <w:t xml:space="preserve">  </w:t>
      </w:r>
    </w:p>
    <w:p w14:paraId="06C0A2E1"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ab/>
        <w:t xml:space="preserve">- measurement </w:t>
      </w:r>
    </w:p>
    <w:p w14:paraId="273532DC"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3EECE056"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ab/>
        <w:t>- BWP adaptation</w:t>
      </w:r>
    </w:p>
    <w:p w14:paraId="206728D9"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3096CBFF"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8</w:t>
      </w:r>
      <w:r>
        <w:tab/>
      </w:r>
      <w:r w:rsidRPr="001D59E2">
        <w:t>Paging enhancements</w:t>
      </w:r>
      <w:r>
        <w:t xml:space="preserve"> (includes paging-less solutions)</w:t>
      </w:r>
    </w:p>
    <w:p w14:paraId="241CD433"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9</w:t>
      </w:r>
      <w:r>
        <w:tab/>
      </w:r>
      <w:r w:rsidRPr="001D59E2">
        <w:rPr>
          <w:highlight w:val="yellow"/>
        </w:rPr>
        <w:t>Cell selection/reselection (ie. cell prioritization also including legacy UEs)</w:t>
      </w:r>
    </w:p>
    <w:p w14:paraId="010564D9"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p>
    <w:p w14:paraId="46FA94C6" w14:textId="77777777" w:rsidR="001D59E2" w:rsidRDefault="001D59E2" w:rsidP="001D59E2">
      <w:pPr>
        <w:pStyle w:val="Doc-text2"/>
        <w:pBdr>
          <w:top w:val="single" w:sz="4" w:space="1" w:color="auto"/>
          <w:left w:val="single" w:sz="4" w:space="4" w:color="auto"/>
          <w:bottom w:val="single" w:sz="4" w:space="1" w:color="auto"/>
          <w:right w:val="single" w:sz="4" w:space="4" w:color="auto"/>
        </w:pBdr>
        <w:rPr>
          <w:b/>
          <w:bCs/>
        </w:rPr>
      </w:pPr>
      <w:r>
        <w:rPr>
          <w:b/>
          <w:bCs/>
        </w:rPr>
        <w:t xml:space="preserve">Things to study </w:t>
      </w:r>
    </w:p>
    <w:p w14:paraId="162A55C3" w14:textId="77777777" w:rsidR="001D59E2" w:rsidRDefault="001D59E2" w:rsidP="001D59E2">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t>Study group configuration and signalling for transitions for different solutions</w:t>
      </w:r>
    </w:p>
    <w:p w14:paraId="7128D302" w14:textId="77777777" w:rsidR="001D59E2" w:rsidRDefault="001D59E2" w:rsidP="001D59E2">
      <w:pPr>
        <w:pStyle w:val="Doc-text2"/>
        <w:pBdr>
          <w:top w:val="single" w:sz="4" w:space="1" w:color="auto"/>
          <w:left w:val="single" w:sz="4" w:space="4" w:color="auto"/>
          <w:bottom w:val="single" w:sz="4" w:space="1" w:color="auto"/>
          <w:right w:val="single" w:sz="4" w:space="4" w:color="auto"/>
        </w:pBdr>
        <w:ind w:left="1259" w:firstLine="0"/>
      </w:pPr>
      <w:r>
        <w:tab/>
        <w:t>- pre-configuration and L1/L2 signaling to trigger change of configuration</w:t>
      </w:r>
    </w:p>
    <w:p w14:paraId="4633E445"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4FC8FE50"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6CD11555"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2C2C48A7"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39EC025D" w14:textId="77777777" w:rsidR="001D59E2" w:rsidRDefault="001D59E2" w:rsidP="001D59E2">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11054F4D" w14:textId="77777777" w:rsidR="001D59E2" w:rsidRPr="001D59E2" w:rsidRDefault="001D59E2" w:rsidP="00C801A7">
      <w:pPr>
        <w:pStyle w:val="BodyText"/>
        <w:rPr>
          <w:lang w:val="x-none"/>
        </w:rPr>
      </w:pPr>
    </w:p>
    <w:p w14:paraId="7EC493A2" w14:textId="49E03E20" w:rsidR="001D59E2" w:rsidRDefault="001D59E2" w:rsidP="00C801A7">
      <w:pPr>
        <w:pStyle w:val="BodyText"/>
      </w:pPr>
      <w:r>
        <w:t xml:space="preserve">Furthermore, </w:t>
      </w:r>
      <w:r w:rsidR="007F22A6">
        <w:t xml:space="preserve">the concept was extended in the </w:t>
      </w:r>
      <w:r w:rsidR="00C9510A">
        <w:t xml:space="preserve">email discussion that was concluded with the following </w:t>
      </w:r>
      <w:r w:rsidR="00355950">
        <w:t>solution statement</w:t>
      </w:r>
      <w:r w:rsidR="00B44808">
        <w:t>:</w:t>
      </w:r>
    </w:p>
    <w:p w14:paraId="2582C190" w14:textId="2256CEDF" w:rsidR="00DB01CB" w:rsidRDefault="004F4938" w:rsidP="00181295">
      <w:pPr>
        <w:pStyle w:val="BodyText"/>
        <w:tabs>
          <w:tab w:val="left" w:pos="7877"/>
        </w:tabs>
        <w:rPr>
          <w:highlight w:val="yellow"/>
        </w:rPr>
      </w:pPr>
      <w:r w:rsidRPr="004F4938">
        <w:rPr>
          <w:highlight w:val="yellow"/>
        </w:rPr>
        <w:t>Solution 9: Cell selection/reselection (</w:t>
      </w:r>
      <w:proofErr w:type="gramStart"/>
      <w:r w:rsidRPr="004F4938">
        <w:rPr>
          <w:highlight w:val="yellow"/>
        </w:rPr>
        <w:t>i.e.</w:t>
      </w:r>
      <w:proofErr w:type="gramEnd"/>
      <w:r w:rsidRPr="004F4938">
        <w:rPr>
          <w:highlight w:val="yellow"/>
        </w:rPr>
        <w:t xml:space="preserve"> cell prioritization also including legacy UEs)</w:t>
      </w:r>
      <w:r w:rsidR="00181295">
        <w:rPr>
          <w:highlight w:val="yellow"/>
        </w:rPr>
        <w:tab/>
      </w:r>
    </w:p>
    <w:p w14:paraId="1518C87A" w14:textId="61EC8612" w:rsidR="00181295" w:rsidRPr="00181295" w:rsidRDefault="00181295" w:rsidP="00181295">
      <w:pPr>
        <w:pStyle w:val="BodyText"/>
        <w:tabs>
          <w:tab w:val="left" w:pos="7877"/>
        </w:tabs>
        <w:rPr>
          <w:b/>
          <w:bCs/>
          <w:highlight w:val="yellow"/>
        </w:rPr>
      </w:pPr>
      <w:r w:rsidRPr="00181295">
        <w:rPr>
          <w:b/>
          <w:bCs/>
          <w:highlight w:val="yellow"/>
        </w:rPr>
        <w:t>Solution statement: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195"/>
      </w:tblGrid>
      <w:tr w:rsidR="00DB01CB" w:rsidRPr="004F4938" w14:paraId="70D669AE" w14:textId="77777777" w:rsidTr="00687D38">
        <w:tc>
          <w:tcPr>
            <w:tcW w:w="1951" w:type="dxa"/>
          </w:tcPr>
          <w:p w14:paraId="2004AC1F"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t>Introduction</w:t>
            </w:r>
          </w:p>
        </w:tc>
        <w:tc>
          <w:tcPr>
            <w:tcW w:w="7195" w:type="dxa"/>
          </w:tcPr>
          <w:p w14:paraId="6E4BE67E"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t>NES cells can be (de-)prioritized for NES capable UEs or legacy UEs during cell selection/reselection, optionally, UE is made aware of cell state (NES or non-NES).</w:t>
            </w:r>
          </w:p>
        </w:tc>
      </w:tr>
      <w:tr w:rsidR="00DB01CB" w:rsidRPr="004F4938" w14:paraId="6E25B449" w14:textId="77777777" w:rsidTr="00687D38">
        <w:tc>
          <w:tcPr>
            <w:tcW w:w="1951" w:type="dxa"/>
          </w:tcPr>
          <w:p w14:paraId="6CA1266E"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t>Scenario</w:t>
            </w:r>
          </w:p>
        </w:tc>
        <w:tc>
          <w:tcPr>
            <w:tcW w:w="7195" w:type="dxa"/>
          </w:tcPr>
          <w:p w14:paraId="7D4C2B4A"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t>Single-carrier, multi-carrier; UEs in Idle/Inactive</w:t>
            </w:r>
          </w:p>
        </w:tc>
      </w:tr>
      <w:tr w:rsidR="00DB01CB" w:rsidRPr="004F4938" w14:paraId="2E6EBEED" w14:textId="77777777" w:rsidTr="00687D38">
        <w:tc>
          <w:tcPr>
            <w:tcW w:w="1951" w:type="dxa"/>
          </w:tcPr>
          <w:p w14:paraId="37823ED8"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lastRenderedPageBreak/>
              <w:t>NES gain</w:t>
            </w:r>
          </w:p>
        </w:tc>
        <w:tc>
          <w:tcPr>
            <w:tcW w:w="7195" w:type="dxa"/>
          </w:tcPr>
          <w:p w14:paraId="1AB1B4B8"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t>Reduced time domain SSB symbols if the cell is in NES state. Legacy UEs can avoid reselecting to an NES cell.</w:t>
            </w:r>
          </w:p>
        </w:tc>
      </w:tr>
      <w:tr w:rsidR="00DB01CB" w:rsidRPr="004F4938" w14:paraId="513BB41E" w14:textId="77777777" w:rsidTr="00687D38">
        <w:tc>
          <w:tcPr>
            <w:tcW w:w="1951" w:type="dxa"/>
          </w:tcPr>
          <w:p w14:paraId="699F59E5"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t>Impact to legacy UEs</w:t>
            </w:r>
          </w:p>
        </w:tc>
        <w:tc>
          <w:tcPr>
            <w:tcW w:w="7195" w:type="dxa"/>
          </w:tcPr>
          <w:p w14:paraId="21489131" w14:textId="77777777" w:rsidR="00DB01CB" w:rsidRPr="004F4938" w:rsidRDefault="00DB01CB" w:rsidP="00DB01CB">
            <w:pPr>
              <w:numPr>
                <w:ilvl w:val="0"/>
                <w:numId w:val="21"/>
              </w:numPr>
              <w:spacing w:before="120" w:after="120"/>
              <w:rPr>
                <w:rFonts w:ascii="Arial" w:hAnsi="Arial" w:cs="Arial"/>
                <w:highlight w:val="yellow"/>
                <w:lang w:eastAsia="zh-CN"/>
              </w:rPr>
            </w:pPr>
            <w:r w:rsidRPr="004F4938">
              <w:rPr>
                <w:rFonts w:ascii="Arial" w:hAnsi="Arial" w:cs="Arial"/>
                <w:highlight w:val="yellow"/>
                <w:lang w:eastAsia="zh-CN"/>
              </w:rPr>
              <w:t>In case legacy mechanism (frequency priority, or adding frequency/cell-specific offsets) is used, there is no impact on legacy UEs</w:t>
            </w:r>
          </w:p>
          <w:p w14:paraId="77F6C6F6" w14:textId="77777777" w:rsidR="00DB01CB" w:rsidRPr="004F4938" w:rsidRDefault="00DB01CB" w:rsidP="00DB01CB">
            <w:pPr>
              <w:numPr>
                <w:ilvl w:val="0"/>
                <w:numId w:val="21"/>
              </w:numPr>
              <w:spacing w:before="120" w:after="120"/>
              <w:rPr>
                <w:rFonts w:ascii="Arial" w:hAnsi="Arial" w:cs="Arial"/>
                <w:highlight w:val="yellow"/>
                <w:lang w:eastAsia="zh-CN"/>
              </w:rPr>
            </w:pPr>
            <w:r w:rsidRPr="004F4938">
              <w:rPr>
                <w:rFonts w:ascii="Arial" w:hAnsi="Arial" w:cs="Arial"/>
                <w:highlight w:val="yellow"/>
                <w:lang w:eastAsia="zh-CN"/>
              </w:rPr>
              <w:t>In case cell state (NES, or non-NES, or other states) is introduced, legacy UEs are not aware. The NES cells can be barred to legacy UEs for backward compatibility.</w:t>
            </w:r>
          </w:p>
        </w:tc>
      </w:tr>
      <w:tr w:rsidR="00DB01CB" w:rsidRPr="004F4938" w14:paraId="18F709EB" w14:textId="77777777" w:rsidTr="00687D38">
        <w:tc>
          <w:tcPr>
            <w:tcW w:w="1951" w:type="dxa"/>
          </w:tcPr>
          <w:p w14:paraId="7A79BA56"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t>UE assistance needed</w:t>
            </w:r>
          </w:p>
        </w:tc>
        <w:tc>
          <w:tcPr>
            <w:tcW w:w="7195" w:type="dxa"/>
          </w:tcPr>
          <w:p w14:paraId="2AEE7479"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t>No</w:t>
            </w:r>
          </w:p>
        </w:tc>
      </w:tr>
      <w:tr w:rsidR="00DB01CB" w14:paraId="65F0BF60" w14:textId="77777777" w:rsidTr="00687D38">
        <w:tc>
          <w:tcPr>
            <w:tcW w:w="1951" w:type="dxa"/>
          </w:tcPr>
          <w:p w14:paraId="58444C8B" w14:textId="77777777" w:rsidR="00DB01CB" w:rsidRPr="004F4938" w:rsidRDefault="00DB01CB" w:rsidP="00687D38">
            <w:pPr>
              <w:spacing w:before="120" w:after="120"/>
              <w:rPr>
                <w:rFonts w:ascii="Arial" w:hAnsi="Arial" w:cs="Arial"/>
                <w:highlight w:val="yellow"/>
                <w:lang w:eastAsia="zh-CN"/>
              </w:rPr>
            </w:pPr>
            <w:r w:rsidRPr="004F4938">
              <w:rPr>
                <w:rFonts w:ascii="Arial" w:hAnsi="Arial" w:cs="Arial"/>
                <w:highlight w:val="yellow"/>
                <w:lang w:eastAsia="zh-CN"/>
              </w:rPr>
              <w:t>RAN2 impact</w:t>
            </w:r>
          </w:p>
        </w:tc>
        <w:tc>
          <w:tcPr>
            <w:tcW w:w="7195" w:type="dxa"/>
          </w:tcPr>
          <w:p w14:paraId="4F3957F9" w14:textId="77777777" w:rsidR="00DB01CB" w:rsidRPr="00DB01CB" w:rsidRDefault="00DB01CB" w:rsidP="00687D38">
            <w:pPr>
              <w:spacing w:before="120" w:after="120"/>
              <w:rPr>
                <w:rFonts w:ascii="Arial" w:hAnsi="Arial" w:cs="Arial"/>
                <w:lang w:eastAsia="zh-CN"/>
              </w:rPr>
            </w:pPr>
            <w:r w:rsidRPr="004F4938">
              <w:rPr>
                <w:rFonts w:ascii="Arial" w:hAnsi="Arial" w:cs="Arial"/>
                <w:highlight w:val="yellow"/>
                <w:lang w:eastAsia="zh-CN"/>
              </w:rPr>
              <w:t>Cell selection/reselection enhancement etc.</w:t>
            </w:r>
          </w:p>
        </w:tc>
      </w:tr>
    </w:tbl>
    <w:p w14:paraId="0DCA2BF2" w14:textId="77777777" w:rsidR="00DB01CB" w:rsidRDefault="00DB01CB" w:rsidP="00C801A7">
      <w:pPr>
        <w:pStyle w:val="BodyText"/>
      </w:pPr>
    </w:p>
    <w:p w14:paraId="6A4F35E1" w14:textId="77777777" w:rsidR="00FF5B8D" w:rsidRDefault="00FF5B8D" w:rsidP="00FF5B8D">
      <w:pPr>
        <w:pStyle w:val="BodyText"/>
      </w:pPr>
      <w:r>
        <w:t>This contribution discusses how to handle legacy UEs that are incapable of NES features configurable at the level of a serving cell and whether any further enhancement is needed for Solution 9 described above.</w:t>
      </w:r>
    </w:p>
    <w:p w14:paraId="2863A535" w14:textId="77777777" w:rsidR="008347BD" w:rsidRPr="00DB01CB" w:rsidRDefault="008347BD" w:rsidP="00C801A7">
      <w:pPr>
        <w:pStyle w:val="BodyText"/>
      </w:pPr>
    </w:p>
    <w:p w14:paraId="5DBEDE08" w14:textId="4E4A09E1" w:rsidR="00DD5A14" w:rsidRDefault="001E6463" w:rsidP="00447256">
      <w:pPr>
        <w:pStyle w:val="Heading1"/>
      </w:pPr>
      <w:r>
        <w:t>2</w:t>
      </w:r>
      <w:r>
        <w:tab/>
      </w:r>
      <w:r w:rsidR="004A2491">
        <w:t>Discussion</w:t>
      </w:r>
    </w:p>
    <w:p w14:paraId="67B9B6DD" w14:textId="23026A34" w:rsidR="00B46A36" w:rsidRDefault="00B46A36" w:rsidP="00B46A36">
      <w:pPr>
        <w:pStyle w:val="BodyText"/>
      </w:pPr>
      <w:r>
        <w:t>An important aspect that needs to be taken into consideration when designing the NES techniques is a possible impact on the legacy UEs. In the case of a NES technique that is configurable at the level of a serving cell and that affect</w:t>
      </w:r>
      <w:r w:rsidR="00490080">
        <w:t>s</w:t>
      </w:r>
      <w:r>
        <w:t xml:space="preserve"> the legacy UEs (e.g., NW DTX/DRX configurable per serving cell), a simple solution would be to enhance cell barring through MIB with a cell barring through SIB as it was done for non-terrestrial networks (NTN) and </w:t>
      </w:r>
      <w:r w:rsidRPr="00AC38BE">
        <w:t xml:space="preserve">Integrated Access and Backhaul </w:t>
      </w:r>
      <w:r>
        <w:t>Mobile Termination (IAB-MT)</w:t>
      </w:r>
      <w:r w:rsidR="004916A1">
        <w:t xml:space="preserve"> </w:t>
      </w:r>
      <w:r w:rsidR="004916A1">
        <w:fldChar w:fldCharType="begin"/>
      </w:r>
      <w:r w:rsidR="004916A1">
        <w:instrText xml:space="preserve"> REF _Ref115177282 \r \h </w:instrText>
      </w:r>
      <w:r w:rsidR="004916A1">
        <w:fldChar w:fldCharType="separate"/>
      </w:r>
      <w:r w:rsidR="004916A1">
        <w:t>[2]</w:t>
      </w:r>
      <w:r w:rsidR="004916A1">
        <w:fldChar w:fldCharType="end"/>
      </w:r>
      <w:r>
        <w:t xml:space="preserve">. </w:t>
      </w:r>
    </w:p>
    <w:p w14:paraId="18AD075B" w14:textId="77777777" w:rsidR="00B46A36" w:rsidRDefault="00B46A36" w:rsidP="00B46A36">
      <w:pPr>
        <w:pStyle w:val="BodyText"/>
      </w:pPr>
    </w:p>
    <w:p w14:paraId="44278686" w14:textId="77777777" w:rsidR="00B46A36" w:rsidRDefault="00B46A36" w:rsidP="00B46A36">
      <w:pPr>
        <w:pStyle w:val="Observation"/>
      </w:pPr>
      <w:bookmarkStart w:id="1" w:name="_Toc115274266"/>
      <w:bookmarkStart w:id="2" w:name="_Toc115421188"/>
      <w:r>
        <w:t>Cell barring through SIB can be used to account for new features not supported by legacy, e.g., as in NTN, IAB-MT.</w:t>
      </w:r>
      <w:bookmarkEnd w:id="1"/>
      <w:bookmarkEnd w:id="2"/>
    </w:p>
    <w:p w14:paraId="3B608CA2" w14:textId="77777777" w:rsidR="00B46A36" w:rsidRDefault="00B46A36" w:rsidP="00B46A36">
      <w:pPr>
        <w:pStyle w:val="Observation"/>
        <w:numPr>
          <w:ilvl w:val="0"/>
          <w:numId w:val="0"/>
        </w:numPr>
        <w:ind w:left="1701"/>
      </w:pPr>
    </w:p>
    <w:p w14:paraId="02000769" w14:textId="77777777" w:rsidR="00B46A36" w:rsidRDefault="00B46A36" w:rsidP="00B46A36">
      <w:pPr>
        <w:pStyle w:val="BodyText"/>
      </w:pPr>
      <w:r>
        <w:t>At the high level, for the cells that support NES features, the enhancement of cell barring through MIB with a cell barring through SIB would work as follows. When a cell is using a NES feature that is not supported by legacy UEs it can set itself as barred in MIB. The legacy UEs incapable of the NES feature will read the MIB and understand that the cell is barred. The NES capable UEs will ignore the information regarding cell barring in MIB and read the SIB, from which they can understand whether the cell is barred or not. Observe that the cell can be barred for the NES capable UEs as well in certain cases known to the NW, e.g., during the maintenance at the NW side. As described above, this can be done through SIB.</w:t>
      </w:r>
    </w:p>
    <w:p w14:paraId="1B6D939A" w14:textId="77777777" w:rsidR="00B46A36" w:rsidRDefault="00B46A36" w:rsidP="00B46A36">
      <w:pPr>
        <w:pStyle w:val="BodyText"/>
      </w:pPr>
    </w:p>
    <w:p w14:paraId="39A55E70" w14:textId="5AB3099E" w:rsidR="00B46A36" w:rsidRDefault="00B46A36" w:rsidP="00B46A36">
      <w:pPr>
        <w:pStyle w:val="Proposal"/>
        <w:rPr>
          <w:noProof/>
        </w:rPr>
      </w:pPr>
      <w:bookmarkStart w:id="3" w:name="_Toc115274271"/>
      <w:bookmarkStart w:id="4" w:name="_Toc115421282"/>
      <w:r>
        <w:t xml:space="preserve">For NES features </w:t>
      </w:r>
      <w:r w:rsidR="00490080">
        <w:t xml:space="preserve">that are </w:t>
      </w:r>
      <w:r>
        <w:t xml:space="preserve">configurable per serving cell </w:t>
      </w:r>
      <w:r w:rsidR="009B04E5">
        <w:t xml:space="preserve">and </w:t>
      </w:r>
      <w:r>
        <w:t>that impact legacy UEs, enhance cell barring through MIB with cell barring through SIB.</w:t>
      </w:r>
      <w:bookmarkEnd w:id="3"/>
      <w:bookmarkEnd w:id="4"/>
    </w:p>
    <w:p w14:paraId="471B570E" w14:textId="77777777" w:rsidR="00B46A36" w:rsidRDefault="00B46A36" w:rsidP="00B46A36">
      <w:pPr>
        <w:pStyle w:val="Proposal"/>
        <w:numPr>
          <w:ilvl w:val="0"/>
          <w:numId w:val="0"/>
        </w:numPr>
        <w:ind w:left="1304" w:hanging="1304"/>
      </w:pPr>
    </w:p>
    <w:p w14:paraId="7EE79869" w14:textId="77777777" w:rsidR="00B46A36" w:rsidRDefault="00B46A36" w:rsidP="00B46A36">
      <w:pPr>
        <w:pStyle w:val="BodyText"/>
      </w:pPr>
      <w:r>
        <w:t>Apart from handing the impact on legacy UEs, the following enhancements are described for NES cell selection/reselection in Solution 9 captured during the email discussion:</w:t>
      </w:r>
    </w:p>
    <w:p w14:paraId="15CEFCAB" w14:textId="77777777" w:rsidR="00B46A36" w:rsidRDefault="00B46A36" w:rsidP="00B46A36">
      <w:pPr>
        <w:pStyle w:val="BodyText"/>
      </w:pPr>
      <w:r w:rsidRPr="00AA5984">
        <w:rPr>
          <w:highlight w:val="yellow"/>
        </w:rPr>
        <w:t>NES cells can be (de-)prioritized for NES capable UEs or legacy UEs during cell selection/reselection, optionally, UE is made aware of cell state (NES or non-NES).</w:t>
      </w:r>
    </w:p>
    <w:p w14:paraId="40BFDDCD" w14:textId="77777777" w:rsidR="00B46A36" w:rsidRDefault="00B46A36" w:rsidP="00B46A36">
      <w:pPr>
        <w:pStyle w:val="BodyText"/>
      </w:pPr>
      <w:r>
        <w:t xml:space="preserve">For NES capable UEs, we understand the cell selection/reselection procedure should not be affected in terms of prioritization of cells. It is important to observe that even if a cell is capable of a certain NES feature, it may not be using it all the time. Hence, the UE may </w:t>
      </w:r>
      <w:proofErr w:type="gramStart"/>
      <w:r>
        <w:t>take into account</w:t>
      </w:r>
      <w:proofErr w:type="gramEnd"/>
      <w:r>
        <w:t xml:space="preserve"> a NES aspect that may not be currently active on a cell. Such issues may need further discussion but do not seem to be tightly related to any NES gain. Therefore, for the current </w:t>
      </w:r>
      <w:r w:rsidRPr="00F643F0">
        <w:t>cell selection/reselection</w:t>
      </w:r>
      <w:r>
        <w:t xml:space="preserve"> solution, we suggest focussing on addressing the impact on legacy UEs rather than introducing optimizations for NES capable UEs.</w:t>
      </w:r>
    </w:p>
    <w:p w14:paraId="1BACC55C" w14:textId="77777777" w:rsidR="00B46A36" w:rsidRDefault="00B46A36" w:rsidP="00B46A36">
      <w:pPr>
        <w:pStyle w:val="Proposal"/>
        <w:numPr>
          <w:ilvl w:val="0"/>
          <w:numId w:val="0"/>
        </w:numPr>
        <w:ind w:left="1304" w:hanging="1304"/>
      </w:pPr>
    </w:p>
    <w:p w14:paraId="4E1C23A0" w14:textId="22FFD4FC" w:rsidR="00B46A36" w:rsidRDefault="00B46A36" w:rsidP="00B46A36">
      <w:pPr>
        <w:pStyle w:val="Proposal"/>
        <w:rPr>
          <w:noProof/>
        </w:rPr>
      </w:pPr>
      <w:bookmarkStart w:id="5" w:name="_Toc115274272"/>
      <w:bookmarkStart w:id="6" w:name="_Toc115421283"/>
      <w:r>
        <w:lastRenderedPageBreak/>
        <w:t>For the cell selection/reselection solution, RAN2 should focus on how to handle the impact on legacy UEs.</w:t>
      </w:r>
      <w:bookmarkEnd w:id="5"/>
      <w:bookmarkEnd w:id="6"/>
    </w:p>
    <w:p w14:paraId="43435DC6" w14:textId="77777777" w:rsidR="00F865CE" w:rsidRPr="00F865CE" w:rsidRDefault="00F865CE" w:rsidP="00C6511B">
      <w:pPr>
        <w:pStyle w:val="Proposal"/>
        <w:numPr>
          <w:ilvl w:val="0"/>
          <w:numId w:val="0"/>
        </w:numPr>
        <w:ind w:left="1304" w:hanging="1304"/>
        <w:rPr>
          <w:b w:val="0"/>
          <w:bCs w:val="0"/>
        </w:rPr>
      </w:pP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2D5D26FC" w14:textId="031FAED9" w:rsidR="00490080"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115421188" w:history="1">
        <w:r w:rsidR="00490080" w:rsidRPr="00D701A8">
          <w:rPr>
            <w:rStyle w:val="Hyperlink"/>
            <w:noProof/>
          </w:rPr>
          <w:t>Observation 1</w:t>
        </w:r>
        <w:r w:rsidR="00490080">
          <w:rPr>
            <w:rFonts w:asciiTheme="minorHAnsi" w:eastAsiaTheme="minorEastAsia" w:hAnsiTheme="minorHAnsi" w:cstheme="minorBidi"/>
            <w:b w:val="0"/>
            <w:noProof/>
            <w:sz w:val="22"/>
            <w:szCs w:val="22"/>
            <w:lang w:val="sv-SE" w:eastAsia="sv-SE"/>
          </w:rPr>
          <w:tab/>
        </w:r>
        <w:r w:rsidR="00490080" w:rsidRPr="00D701A8">
          <w:rPr>
            <w:rStyle w:val="Hyperlink"/>
            <w:noProof/>
          </w:rPr>
          <w:t>Cell barring through SIB can be used to account for new features not supported by legacy, e.g., as in NTN, IAB-MT.</w:t>
        </w:r>
      </w:hyperlink>
    </w:p>
    <w:p w14:paraId="03676E60" w14:textId="69AD5967" w:rsidR="00B001F1" w:rsidRDefault="00EE4C33" w:rsidP="00B53EA9">
      <w:pPr>
        <w:pStyle w:val="BodyText"/>
        <w:rPr>
          <w:b/>
          <w:bCs/>
        </w:rPr>
      </w:pPr>
      <w:r>
        <w:rPr>
          <w:b/>
          <w:bCs/>
        </w:rPr>
        <w:fldChar w:fldCharType="end"/>
      </w:r>
    </w:p>
    <w:p w14:paraId="266C0647" w14:textId="77777777" w:rsidR="009B04E5"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1939A005" w14:textId="71B59655" w:rsidR="009B04E5" w:rsidRDefault="009B04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1282" w:history="1">
        <w:r w:rsidRPr="00C507F2">
          <w:rPr>
            <w:rStyle w:val="Hyperlink"/>
            <w:noProof/>
          </w:rPr>
          <w:t>Proposal 1</w:t>
        </w:r>
        <w:r>
          <w:rPr>
            <w:rFonts w:asciiTheme="minorHAnsi" w:eastAsiaTheme="minorEastAsia" w:hAnsiTheme="minorHAnsi" w:cstheme="minorBidi"/>
            <w:b w:val="0"/>
            <w:noProof/>
            <w:sz w:val="22"/>
            <w:szCs w:val="22"/>
            <w:lang w:val="sv-SE" w:eastAsia="sv-SE"/>
          </w:rPr>
          <w:tab/>
        </w:r>
        <w:r w:rsidRPr="00C507F2">
          <w:rPr>
            <w:rStyle w:val="Hyperlink"/>
            <w:noProof/>
          </w:rPr>
          <w:t>For NES features that are configurable per serving cell and that impact legacy UEs, enhance cell barring through MIB with cell barring through SIB.</w:t>
        </w:r>
      </w:hyperlink>
    </w:p>
    <w:p w14:paraId="52BCAB91" w14:textId="05FC4F7D" w:rsidR="009B04E5" w:rsidRDefault="009B04E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1283" w:history="1">
        <w:r w:rsidRPr="00C507F2">
          <w:rPr>
            <w:rStyle w:val="Hyperlink"/>
            <w:noProof/>
          </w:rPr>
          <w:t>Proposal 2</w:t>
        </w:r>
        <w:r>
          <w:rPr>
            <w:rFonts w:asciiTheme="minorHAnsi" w:eastAsiaTheme="minorEastAsia" w:hAnsiTheme="minorHAnsi" w:cstheme="minorBidi"/>
            <w:b w:val="0"/>
            <w:noProof/>
            <w:sz w:val="22"/>
            <w:szCs w:val="22"/>
            <w:lang w:val="sv-SE" w:eastAsia="sv-SE"/>
          </w:rPr>
          <w:tab/>
        </w:r>
        <w:r w:rsidRPr="00C507F2">
          <w:rPr>
            <w:rStyle w:val="Hyperlink"/>
            <w:noProof/>
          </w:rPr>
          <w:t>For the cell selection/reselection solution, RAN2 should focus on how to handle the impact on legacy UEs.</w:t>
        </w:r>
      </w:hyperlink>
    </w:p>
    <w:p w14:paraId="39542A13" w14:textId="2D8AD2D5"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410C55E3" w14:textId="2394C24C" w:rsidR="00372203" w:rsidRPr="0083653B" w:rsidRDefault="00372203" w:rsidP="00372203">
      <w:pPr>
        <w:pStyle w:val="Reference"/>
        <w:tabs>
          <w:tab w:val="clear" w:pos="567"/>
        </w:tabs>
        <w:ind w:left="0" w:firstLine="0"/>
        <w:rPr>
          <w:lang w:val="en-US"/>
        </w:rPr>
      </w:pPr>
      <w:bookmarkStart w:id="7" w:name="_Ref110486898"/>
      <w:bookmarkStart w:id="8" w:name="_Ref115105112"/>
      <w:r w:rsidRPr="00120313">
        <w:rPr>
          <w:lang w:val="en-US"/>
        </w:rPr>
        <w:t>R2-2208703</w:t>
      </w:r>
      <w:r>
        <w:rPr>
          <w:lang w:val="en-US"/>
        </w:rPr>
        <w:t xml:space="preserve">, </w:t>
      </w:r>
      <w:r w:rsidRPr="002905BB">
        <w:rPr>
          <w:lang w:val="en-US"/>
        </w:rPr>
        <w:t>3GPP TSG</w:t>
      </w:r>
      <w:r>
        <w:rPr>
          <w:lang w:val="en-US"/>
        </w:rPr>
        <w:t>-</w:t>
      </w:r>
      <w:r w:rsidRPr="002905BB">
        <w:rPr>
          <w:lang w:val="en-US"/>
        </w:rPr>
        <w:t>RAN WG</w:t>
      </w:r>
      <w:r>
        <w:rPr>
          <w:lang w:val="en-US"/>
        </w:rPr>
        <w:t>2</w:t>
      </w:r>
      <w:r w:rsidRPr="002905BB">
        <w:rPr>
          <w:lang w:val="en-US"/>
        </w:rPr>
        <w:t xml:space="preserve"> Meeting #1</w:t>
      </w:r>
      <w:r>
        <w:rPr>
          <w:lang w:val="en-US"/>
        </w:rPr>
        <w:t>1</w:t>
      </w:r>
      <w:r w:rsidRPr="002905BB">
        <w:rPr>
          <w:lang w:val="en-US"/>
        </w:rPr>
        <w:t>9-e</w:t>
      </w:r>
      <w:r>
        <w:rPr>
          <w:lang w:val="en-US"/>
        </w:rPr>
        <w:t xml:space="preserve">, </w:t>
      </w:r>
      <w:r w:rsidRPr="0083653B">
        <w:rPr>
          <w:lang w:val="en-US"/>
        </w:rPr>
        <w:t xml:space="preserve">Electronic Meeting, </w:t>
      </w:r>
      <w:r>
        <w:rPr>
          <w:lang w:val="en-US"/>
        </w:rPr>
        <w:t>August</w:t>
      </w:r>
      <w:r w:rsidRPr="0083653B">
        <w:rPr>
          <w:lang w:val="en-US"/>
        </w:rPr>
        <w:t xml:space="preserve"> </w:t>
      </w:r>
      <w:r>
        <w:rPr>
          <w:lang w:val="en-US"/>
        </w:rPr>
        <w:t>15</w:t>
      </w:r>
      <w:r w:rsidRPr="0083653B">
        <w:rPr>
          <w:lang w:val="en-US"/>
        </w:rPr>
        <w:t>-2</w:t>
      </w:r>
      <w:r>
        <w:rPr>
          <w:lang w:val="en-US"/>
        </w:rPr>
        <w:t>6</w:t>
      </w:r>
      <w:r w:rsidRPr="0083653B">
        <w:rPr>
          <w:lang w:val="en-US"/>
        </w:rPr>
        <w:t>, 2022;</w:t>
      </w:r>
      <w:r>
        <w:rPr>
          <w:lang w:val="en-US"/>
        </w:rPr>
        <w:t xml:space="preserve"> </w:t>
      </w:r>
      <w:r w:rsidRPr="00707C69">
        <w:rPr>
          <w:lang w:val="en-US"/>
        </w:rPr>
        <w:t>Report for Rel-17 Small data and URLLC/</w:t>
      </w:r>
      <w:proofErr w:type="spellStart"/>
      <w:r w:rsidRPr="00707C69">
        <w:rPr>
          <w:lang w:val="en-US"/>
        </w:rPr>
        <w:t>IIoT</w:t>
      </w:r>
      <w:bookmarkEnd w:id="7"/>
      <w:proofErr w:type="spellEnd"/>
      <w:r>
        <w:rPr>
          <w:lang w:val="en-US"/>
        </w:rPr>
        <w:t>; Network energy savings for NR</w:t>
      </w:r>
      <w:bookmarkEnd w:id="8"/>
      <w:r>
        <w:rPr>
          <w:lang w:val="en-US"/>
        </w:rPr>
        <w:t>.</w:t>
      </w:r>
    </w:p>
    <w:p w14:paraId="30E9F22B" w14:textId="442B1EFA" w:rsidR="00662745" w:rsidRDefault="002F72F9" w:rsidP="00687D38">
      <w:pPr>
        <w:pStyle w:val="Reference"/>
        <w:rPr>
          <w:lang w:eastAsia="ja-JP"/>
        </w:rPr>
      </w:pPr>
      <w:bookmarkStart w:id="9" w:name="_Ref115177282"/>
      <w:r>
        <w:t>3GPP TS 38.</w:t>
      </w:r>
      <w:r w:rsidR="00605D8E">
        <w:t xml:space="preserve">331, </w:t>
      </w:r>
      <w:r w:rsidR="003E498E">
        <w:t>Radio Resource Control (RRC) protocol specification</w:t>
      </w:r>
      <w:r w:rsidR="00662745">
        <w:t xml:space="preserve">, Release 17, v17.1.0, June 2022; </w:t>
      </w:r>
      <w:r w:rsidR="00662745" w:rsidRPr="00C8517D">
        <w:t>3rd Generation Partnership Project; Technical Specification Group Radio Access Network; NR</w:t>
      </w:r>
      <w:r w:rsidR="00662745">
        <w:t>.</w:t>
      </w:r>
      <w:bookmarkEnd w:id="9"/>
      <w:r w:rsidR="00662745">
        <w:t xml:space="preserve">  </w:t>
      </w:r>
    </w:p>
    <w:p w14:paraId="38FF9E4B" w14:textId="1147C60D" w:rsidR="00A936B8" w:rsidRPr="003517CB" w:rsidRDefault="00A936B8" w:rsidP="00662745">
      <w:pPr>
        <w:pStyle w:val="Reference"/>
        <w:numPr>
          <w:ilvl w:val="0"/>
          <w:numId w:val="0"/>
        </w:numPr>
        <w:overflowPunct/>
        <w:autoSpaceDE/>
        <w:autoSpaceDN/>
        <w:adjustRightInd/>
        <w:spacing w:after="160" w:line="259" w:lineRule="auto"/>
        <w:ind w:left="567"/>
        <w:jc w:val="left"/>
        <w:textAlignment w:val="auto"/>
      </w:pP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FDD2A" w14:textId="77777777" w:rsidR="00687D38" w:rsidRDefault="00687D38">
      <w:r>
        <w:separator/>
      </w:r>
    </w:p>
  </w:endnote>
  <w:endnote w:type="continuationSeparator" w:id="0">
    <w:p w14:paraId="3E6B0D7B" w14:textId="77777777" w:rsidR="00687D38" w:rsidRDefault="00687D38">
      <w:r>
        <w:continuationSeparator/>
      </w:r>
    </w:p>
  </w:endnote>
  <w:endnote w:type="continuationNotice" w:id="1">
    <w:p w14:paraId="55619F8B" w14:textId="77777777" w:rsidR="00687D38" w:rsidRDefault="00687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744B" w14:textId="77777777" w:rsidR="00687D38" w:rsidRDefault="00687D38">
      <w:r>
        <w:separator/>
      </w:r>
    </w:p>
  </w:footnote>
  <w:footnote w:type="continuationSeparator" w:id="0">
    <w:p w14:paraId="4701450D" w14:textId="77777777" w:rsidR="00687D38" w:rsidRDefault="00687D38">
      <w:r>
        <w:continuationSeparator/>
      </w:r>
    </w:p>
  </w:footnote>
  <w:footnote w:type="continuationNotice" w:id="1">
    <w:p w14:paraId="4BB7FAA0" w14:textId="77777777" w:rsidR="00687D38" w:rsidRDefault="00687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3753"/>
        </w:tabs>
        <w:ind w:left="-3753"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AC2208"/>
    <w:multiLevelType w:val="hybridMultilevel"/>
    <w:tmpl w:val="2A5456C0"/>
    <w:lvl w:ilvl="0" w:tplc="878C8058">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0710BD2"/>
    <w:multiLevelType w:val="multilevel"/>
    <w:tmpl w:val="60710B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0"/>
  </w:num>
  <w:num w:numId="3">
    <w:abstractNumId w:val="2"/>
  </w:num>
  <w:num w:numId="4">
    <w:abstractNumId w:val="14"/>
  </w:num>
  <w:num w:numId="5">
    <w:abstractNumId w:val="15"/>
  </w:num>
  <w:num w:numId="6">
    <w:abstractNumId w:val="16"/>
  </w:num>
  <w:num w:numId="7">
    <w:abstractNumId w:val="5"/>
  </w:num>
  <w:num w:numId="8">
    <w:abstractNumId w:val="6"/>
  </w:num>
  <w:num w:numId="9">
    <w:abstractNumId w:val="4"/>
  </w:num>
  <w:num w:numId="10">
    <w:abstractNumId w:val="20"/>
  </w:num>
  <w:num w:numId="11">
    <w:abstractNumId w:val="9"/>
  </w:num>
  <w:num w:numId="12">
    <w:abstractNumId w:val="18"/>
  </w:num>
  <w:num w:numId="13">
    <w:abstractNumId w:val="19"/>
  </w:num>
  <w:num w:numId="14">
    <w:abstractNumId w:val="7"/>
  </w:num>
  <w:num w:numId="15">
    <w:abstractNumId w:val="1"/>
  </w:num>
  <w:num w:numId="16">
    <w:abstractNumId w:val="0"/>
  </w:num>
  <w:num w:numId="17">
    <w:abstractNumId w:val="3"/>
  </w:num>
  <w:num w:numId="18">
    <w:abstractNumId w:val="12"/>
  </w:num>
  <w:num w:numId="19">
    <w:abstractNumId w:val="8"/>
  </w:num>
  <w:num w:numId="20">
    <w:abstractNumId w:val="11"/>
  </w:num>
  <w:num w:numId="2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68C4"/>
    <w:rsid w:val="00026E63"/>
    <w:rsid w:val="00027FFE"/>
    <w:rsid w:val="000316B6"/>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7EA"/>
    <w:rsid w:val="00040EF8"/>
    <w:rsid w:val="00041526"/>
    <w:rsid w:val="000415C8"/>
    <w:rsid w:val="00042053"/>
    <w:rsid w:val="000422E2"/>
    <w:rsid w:val="00042EF0"/>
    <w:rsid w:val="00042F22"/>
    <w:rsid w:val="000444EF"/>
    <w:rsid w:val="00045D56"/>
    <w:rsid w:val="00046B0E"/>
    <w:rsid w:val="00047B7B"/>
    <w:rsid w:val="000502A2"/>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723"/>
    <w:rsid w:val="000A3990"/>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4B6"/>
    <w:rsid w:val="000D46F8"/>
    <w:rsid w:val="000D4797"/>
    <w:rsid w:val="000D5127"/>
    <w:rsid w:val="000D59FA"/>
    <w:rsid w:val="000D5B91"/>
    <w:rsid w:val="000D5E8A"/>
    <w:rsid w:val="000E04C0"/>
    <w:rsid w:val="000E0527"/>
    <w:rsid w:val="000E0C22"/>
    <w:rsid w:val="000E1B49"/>
    <w:rsid w:val="000E1E88"/>
    <w:rsid w:val="000E1E92"/>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0F7E1F"/>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0BD9"/>
    <w:rsid w:val="001414B6"/>
    <w:rsid w:val="001425BA"/>
    <w:rsid w:val="00143F0F"/>
    <w:rsid w:val="00144909"/>
    <w:rsid w:val="00145E7E"/>
    <w:rsid w:val="00146100"/>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67065"/>
    <w:rsid w:val="0017011C"/>
    <w:rsid w:val="00170DEC"/>
    <w:rsid w:val="001720A7"/>
    <w:rsid w:val="00173A8E"/>
    <w:rsid w:val="00174F53"/>
    <w:rsid w:val="0017502C"/>
    <w:rsid w:val="0017568F"/>
    <w:rsid w:val="0017576E"/>
    <w:rsid w:val="001773DF"/>
    <w:rsid w:val="0017798E"/>
    <w:rsid w:val="00181295"/>
    <w:rsid w:val="0018143F"/>
    <w:rsid w:val="00181951"/>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261"/>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2795"/>
    <w:rsid w:val="001D51BA"/>
    <w:rsid w:val="001D53E7"/>
    <w:rsid w:val="001D59E2"/>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B96"/>
    <w:rsid w:val="00207FA3"/>
    <w:rsid w:val="0021199F"/>
    <w:rsid w:val="00211F7F"/>
    <w:rsid w:val="00211F89"/>
    <w:rsid w:val="00213CAA"/>
    <w:rsid w:val="00213D0D"/>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B62"/>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4E40"/>
    <w:rsid w:val="002A7B16"/>
    <w:rsid w:val="002B0858"/>
    <w:rsid w:val="002B103B"/>
    <w:rsid w:val="002B1C9E"/>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2EA"/>
    <w:rsid w:val="002D2297"/>
    <w:rsid w:val="002D2982"/>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119"/>
    <w:rsid w:val="002F72F9"/>
    <w:rsid w:val="002F7EFD"/>
    <w:rsid w:val="00300640"/>
    <w:rsid w:val="0030068C"/>
    <w:rsid w:val="00300BEC"/>
    <w:rsid w:val="00300C0B"/>
    <w:rsid w:val="00300FD7"/>
    <w:rsid w:val="003010E7"/>
    <w:rsid w:val="0030186D"/>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4E72"/>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3DF5"/>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53E5"/>
    <w:rsid w:val="00355950"/>
    <w:rsid w:val="00357380"/>
    <w:rsid w:val="003578DD"/>
    <w:rsid w:val="00357B32"/>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E0E"/>
    <w:rsid w:val="00372203"/>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4E18"/>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00D8"/>
    <w:rsid w:val="003B159C"/>
    <w:rsid w:val="003B1BE8"/>
    <w:rsid w:val="003B1C23"/>
    <w:rsid w:val="003B1FD1"/>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98E"/>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1D8"/>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06B"/>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1AF"/>
    <w:rsid w:val="00444F56"/>
    <w:rsid w:val="00445A2A"/>
    <w:rsid w:val="00445E3A"/>
    <w:rsid w:val="00446488"/>
    <w:rsid w:val="004468A7"/>
    <w:rsid w:val="00447256"/>
    <w:rsid w:val="00447702"/>
    <w:rsid w:val="00447B52"/>
    <w:rsid w:val="00447DEF"/>
    <w:rsid w:val="00450AA8"/>
    <w:rsid w:val="00450F82"/>
    <w:rsid w:val="0045128C"/>
    <w:rsid w:val="004517AA"/>
    <w:rsid w:val="0045201C"/>
    <w:rsid w:val="004522A3"/>
    <w:rsid w:val="00452BCB"/>
    <w:rsid w:val="00452CAC"/>
    <w:rsid w:val="00453010"/>
    <w:rsid w:val="004540AF"/>
    <w:rsid w:val="004541ED"/>
    <w:rsid w:val="004543FF"/>
    <w:rsid w:val="00454B35"/>
    <w:rsid w:val="00454EC7"/>
    <w:rsid w:val="00455EFC"/>
    <w:rsid w:val="00456BCD"/>
    <w:rsid w:val="00457565"/>
    <w:rsid w:val="00457B71"/>
    <w:rsid w:val="00457F1A"/>
    <w:rsid w:val="00460F0C"/>
    <w:rsid w:val="004612E6"/>
    <w:rsid w:val="0046222D"/>
    <w:rsid w:val="004630EF"/>
    <w:rsid w:val="00463294"/>
    <w:rsid w:val="00463913"/>
    <w:rsid w:val="00463F2D"/>
    <w:rsid w:val="00464152"/>
    <w:rsid w:val="00464BFF"/>
    <w:rsid w:val="004651F2"/>
    <w:rsid w:val="0046580D"/>
    <w:rsid w:val="004669E2"/>
    <w:rsid w:val="00466C89"/>
    <w:rsid w:val="004677F0"/>
    <w:rsid w:val="00467893"/>
    <w:rsid w:val="00470AC6"/>
    <w:rsid w:val="00470B3B"/>
    <w:rsid w:val="00470C31"/>
    <w:rsid w:val="00470FC5"/>
    <w:rsid w:val="00471B92"/>
    <w:rsid w:val="00471D3A"/>
    <w:rsid w:val="00471DE0"/>
    <w:rsid w:val="004733FE"/>
    <w:rsid w:val="004734D0"/>
    <w:rsid w:val="0047470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080"/>
    <w:rsid w:val="004907EB"/>
    <w:rsid w:val="00491035"/>
    <w:rsid w:val="004913FC"/>
    <w:rsid w:val="004916A1"/>
    <w:rsid w:val="00491A12"/>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938"/>
    <w:rsid w:val="004F4DA3"/>
    <w:rsid w:val="004F51AE"/>
    <w:rsid w:val="004F7377"/>
    <w:rsid w:val="005012F0"/>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692A"/>
    <w:rsid w:val="00516C39"/>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20F8"/>
    <w:rsid w:val="005322FB"/>
    <w:rsid w:val="0053241E"/>
    <w:rsid w:val="00532DE1"/>
    <w:rsid w:val="005341D8"/>
    <w:rsid w:val="00534356"/>
    <w:rsid w:val="00534695"/>
    <w:rsid w:val="0053476C"/>
    <w:rsid w:val="00534934"/>
    <w:rsid w:val="00534B59"/>
    <w:rsid w:val="00535A9B"/>
    <w:rsid w:val="00536759"/>
    <w:rsid w:val="00536C12"/>
    <w:rsid w:val="005371DD"/>
    <w:rsid w:val="0053786F"/>
    <w:rsid w:val="005378C3"/>
    <w:rsid w:val="00537C62"/>
    <w:rsid w:val="00537E42"/>
    <w:rsid w:val="0054089F"/>
    <w:rsid w:val="00540B1D"/>
    <w:rsid w:val="005414BD"/>
    <w:rsid w:val="0054265B"/>
    <w:rsid w:val="0054291C"/>
    <w:rsid w:val="00543B48"/>
    <w:rsid w:val="00543F7B"/>
    <w:rsid w:val="005440E5"/>
    <w:rsid w:val="00545740"/>
    <w:rsid w:val="00546970"/>
    <w:rsid w:val="00546E15"/>
    <w:rsid w:val="00546E31"/>
    <w:rsid w:val="00546F98"/>
    <w:rsid w:val="00547C94"/>
    <w:rsid w:val="00547E33"/>
    <w:rsid w:val="00551EF8"/>
    <w:rsid w:val="005541C7"/>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19A"/>
    <w:rsid w:val="00567F52"/>
    <w:rsid w:val="00572505"/>
    <w:rsid w:val="0057487C"/>
    <w:rsid w:val="00574D01"/>
    <w:rsid w:val="00575E90"/>
    <w:rsid w:val="00576B43"/>
    <w:rsid w:val="00576E80"/>
    <w:rsid w:val="00577733"/>
    <w:rsid w:val="0058233D"/>
    <w:rsid w:val="005825D4"/>
    <w:rsid w:val="00582809"/>
    <w:rsid w:val="00583F3D"/>
    <w:rsid w:val="00585183"/>
    <w:rsid w:val="005852F0"/>
    <w:rsid w:val="00586000"/>
    <w:rsid w:val="0058798C"/>
    <w:rsid w:val="00587AF9"/>
    <w:rsid w:val="005900FA"/>
    <w:rsid w:val="005901AA"/>
    <w:rsid w:val="00590DCB"/>
    <w:rsid w:val="00590FED"/>
    <w:rsid w:val="005914F1"/>
    <w:rsid w:val="00591832"/>
    <w:rsid w:val="005924F0"/>
    <w:rsid w:val="00592E68"/>
    <w:rsid w:val="005935A4"/>
    <w:rsid w:val="00593CD6"/>
    <w:rsid w:val="005944BA"/>
    <w:rsid w:val="005947B4"/>
    <w:rsid w:val="005948C2"/>
    <w:rsid w:val="00595291"/>
    <w:rsid w:val="005956DA"/>
    <w:rsid w:val="005957D5"/>
    <w:rsid w:val="00595CA0"/>
    <w:rsid w:val="00595DCA"/>
    <w:rsid w:val="005970FB"/>
    <w:rsid w:val="0059779B"/>
    <w:rsid w:val="005A10E8"/>
    <w:rsid w:val="005A1148"/>
    <w:rsid w:val="005A1E9A"/>
    <w:rsid w:val="005A209A"/>
    <w:rsid w:val="005A3AE8"/>
    <w:rsid w:val="005A4050"/>
    <w:rsid w:val="005A52F5"/>
    <w:rsid w:val="005A662D"/>
    <w:rsid w:val="005A7362"/>
    <w:rsid w:val="005A7A7C"/>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5B48"/>
    <w:rsid w:val="00605D8E"/>
    <w:rsid w:val="00606307"/>
    <w:rsid w:val="00606960"/>
    <w:rsid w:val="00607BD4"/>
    <w:rsid w:val="006101D9"/>
    <w:rsid w:val="0061030F"/>
    <w:rsid w:val="00611B83"/>
    <w:rsid w:val="00613257"/>
    <w:rsid w:val="00613743"/>
    <w:rsid w:val="00614191"/>
    <w:rsid w:val="006143C6"/>
    <w:rsid w:val="00615082"/>
    <w:rsid w:val="0061578A"/>
    <w:rsid w:val="006159EE"/>
    <w:rsid w:val="00616A30"/>
    <w:rsid w:val="00616B07"/>
    <w:rsid w:val="006172FB"/>
    <w:rsid w:val="0062047C"/>
    <w:rsid w:val="00620A45"/>
    <w:rsid w:val="00620A71"/>
    <w:rsid w:val="00620D80"/>
    <w:rsid w:val="006210C1"/>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4A41"/>
    <w:rsid w:val="00635198"/>
    <w:rsid w:val="006358BA"/>
    <w:rsid w:val="00636398"/>
    <w:rsid w:val="006368D3"/>
    <w:rsid w:val="00636F30"/>
    <w:rsid w:val="00636F32"/>
    <w:rsid w:val="006377EC"/>
    <w:rsid w:val="006407F4"/>
    <w:rsid w:val="00640995"/>
    <w:rsid w:val="006409CE"/>
    <w:rsid w:val="0064151F"/>
    <w:rsid w:val="00641533"/>
    <w:rsid w:val="00641A8B"/>
    <w:rsid w:val="0064208D"/>
    <w:rsid w:val="00643200"/>
    <w:rsid w:val="00643475"/>
    <w:rsid w:val="0064396A"/>
    <w:rsid w:val="00643DDD"/>
    <w:rsid w:val="0064617B"/>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7C0"/>
    <w:rsid w:val="00660D09"/>
    <w:rsid w:val="006613A6"/>
    <w:rsid w:val="0066209D"/>
    <w:rsid w:val="00662745"/>
    <w:rsid w:val="006627A2"/>
    <w:rsid w:val="006634E6"/>
    <w:rsid w:val="00664568"/>
    <w:rsid w:val="00664C1C"/>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7106"/>
    <w:rsid w:val="006877F1"/>
    <w:rsid w:val="00687D38"/>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2D67"/>
    <w:rsid w:val="006A431D"/>
    <w:rsid w:val="006A46FB"/>
    <w:rsid w:val="006A4E74"/>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0DFD"/>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0CCA"/>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2785"/>
    <w:rsid w:val="00755A21"/>
    <w:rsid w:val="00755D72"/>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2F7"/>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3FCB"/>
    <w:rsid w:val="007C4DC9"/>
    <w:rsid w:val="007C52C0"/>
    <w:rsid w:val="007C5D6C"/>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4DF3"/>
    <w:rsid w:val="007E505B"/>
    <w:rsid w:val="007E6C13"/>
    <w:rsid w:val="007E7091"/>
    <w:rsid w:val="007E756A"/>
    <w:rsid w:val="007E7C5E"/>
    <w:rsid w:val="007F09E4"/>
    <w:rsid w:val="007F1BC7"/>
    <w:rsid w:val="007F22A6"/>
    <w:rsid w:val="007F24A1"/>
    <w:rsid w:val="007F3216"/>
    <w:rsid w:val="007F3E33"/>
    <w:rsid w:val="007F408F"/>
    <w:rsid w:val="007F41D0"/>
    <w:rsid w:val="007F504B"/>
    <w:rsid w:val="007F5310"/>
    <w:rsid w:val="007F53DF"/>
    <w:rsid w:val="007F55C4"/>
    <w:rsid w:val="007F58F3"/>
    <w:rsid w:val="007F6680"/>
    <w:rsid w:val="007F6E1F"/>
    <w:rsid w:val="007F7C6F"/>
    <w:rsid w:val="00800DAE"/>
    <w:rsid w:val="00801A15"/>
    <w:rsid w:val="008022A7"/>
    <w:rsid w:val="00802E41"/>
    <w:rsid w:val="00802E43"/>
    <w:rsid w:val="00803011"/>
    <w:rsid w:val="00803DEF"/>
    <w:rsid w:val="00803FAE"/>
    <w:rsid w:val="008054A3"/>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2B"/>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7BD"/>
    <w:rsid w:val="00834CDF"/>
    <w:rsid w:val="00835655"/>
    <w:rsid w:val="00835BCE"/>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78F"/>
    <w:rsid w:val="00857D23"/>
    <w:rsid w:val="0086012D"/>
    <w:rsid w:val="00860CD8"/>
    <w:rsid w:val="00860F14"/>
    <w:rsid w:val="008612C0"/>
    <w:rsid w:val="008618E5"/>
    <w:rsid w:val="00861988"/>
    <w:rsid w:val="00861DCC"/>
    <w:rsid w:val="008620DF"/>
    <w:rsid w:val="00864CE7"/>
    <w:rsid w:val="00865B60"/>
    <w:rsid w:val="00865FB7"/>
    <w:rsid w:val="00866953"/>
    <w:rsid w:val="008677FD"/>
    <w:rsid w:val="00867B97"/>
    <w:rsid w:val="00870568"/>
    <w:rsid w:val="0087068B"/>
    <w:rsid w:val="008706D4"/>
    <w:rsid w:val="00870F8A"/>
    <w:rsid w:val="008719A4"/>
    <w:rsid w:val="00871D23"/>
    <w:rsid w:val="008722E9"/>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119"/>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A1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1DFA"/>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3E5"/>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8D1"/>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6B72"/>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303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EC8"/>
    <w:rsid w:val="009A0FBA"/>
    <w:rsid w:val="009A1601"/>
    <w:rsid w:val="009A2FD8"/>
    <w:rsid w:val="009A329C"/>
    <w:rsid w:val="009A3710"/>
    <w:rsid w:val="009A3BB6"/>
    <w:rsid w:val="009A462D"/>
    <w:rsid w:val="009A5CBA"/>
    <w:rsid w:val="009A5E03"/>
    <w:rsid w:val="009A6145"/>
    <w:rsid w:val="009A63EB"/>
    <w:rsid w:val="009A6D84"/>
    <w:rsid w:val="009B04E5"/>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1672"/>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53E"/>
    <w:rsid w:val="009F7743"/>
    <w:rsid w:val="00A009C3"/>
    <w:rsid w:val="00A00D8D"/>
    <w:rsid w:val="00A015E5"/>
    <w:rsid w:val="00A021A5"/>
    <w:rsid w:val="00A027B2"/>
    <w:rsid w:val="00A02A8B"/>
    <w:rsid w:val="00A02F10"/>
    <w:rsid w:val="00A031D8"/>
    <w:rsid w:val="00A032D0"/>
    <w:rsid w:val="00A0358A"/>
    <w:rsid w:val="00A038B9"/>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CE5"/>
    <w:rsid w:val="00A57F22"/>
    <w:rsid w:val="00A60638"/>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0E23"/>
    <w:rsid w:val="00A71B99"/>
    <w:rsid w:val="00A72B80"/>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5CB"/>
    <w:rsid w:val="00A917B1"/>
    <w:rsid w:val="00A9237F"/>
    <w:rsid w:val="00A926C2"/>
    <w:rsid w:val="00A92879"/>
    <w:rsid w:val="00A92C93"/>
    <w:rsid w:val="00A93054"/>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3599"/>
    <w:rsid w:val="00AA51D6"/>
    <w:rsid w:val="00AA5922"/>
    <w:rsid w:val="00AB0754"/>
    <w:rsid w:val="00AB0AE3"/>
    <w:rsid w:val="00AB0BC8"/>
    <w:rsid w:val="00AB11CA"/>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38BE"/>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7AE"/>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544"/>
    <w:rsid w:val="00B02AA9"/>
    <w:rsid w:val="00B02FA3"/>
    <w:rsid w:val="00B0321D"/>
    <w:rsid w:val="00B04A74"/>
    <w:rsid w:val="00B05084"/>
    <w:rsid w:val="00B07DC9"/>
    <w:rsid w:val="00B07F10"/>
    <w:rsid w:val="00B10458"/>
    <w:rsid w:val="00B106A6"/>
    <w:rsid w:val="00B10A86"/>
    <w:rsid w:val="00B10B43"/>
    <w:rsid w:val="00B113FF"/>
    <w:rsid w:val="00B11AAC"/>
    <w:rsid w:val="00B133CE"/>
    <w:rsid w:val="00B156B7"/>
    <w:rsid w:val="00B157F9"/>
    <w:rsid w:val="00B15AD0"/>
    <w:rsid w:val="00B16157"/>
    <w:rsid w:val="00B17E58"/>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26C4"/>
    <w:rsid w:val="00B33017"/>
    <w:rsid w:val="00B34F52"/>
    <w:rsid w:val="00B34FCC"/>
    <w:rsid w:val="00B35424"/>
    <w:rsid w:val="00B357AA"/>
    <w:rsid w:val="00B372AA"/>
    <w:rsid w:val="00B37954"/>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4808"/>
    <w:rsid w:val="00B45692"/>
    <w:rsid w:val="00B45A52"/>
    <w:rsid w:val="00B4606B"/>
    <w:rsid w:val="00B46175"/>
    <w:rsid w:val="00B46A36"/>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1184"/>
    <w:rsid w:val="00B629C9"/>
    <w:rsid w:val="00B62F2E"/>
    <w:rsid w:val="00B63378"/>
    <w:rsid w:val="00B635DC"/>
    <w:rsid w:val="00B646B9"/>
    <w:rsid w:val="00B64797"/>
    <w:rsid w:val="00B64EDF"/>
    <w:rsid w:val="00B6569B"/>
    <w:rsid w:val="00B664C7"/>
    <w:rsid w:val="00B66602"/>
    <w:rsid w:val="00B66DB8"/>
    <w:rsid w:val="00B670E9"/>
    <w:rsid w:val="00B6720E"/>
    <w:rsid w:val="00B67929"/>
    <w:rsid w:val="00B70FD4"/>
    <w:rsid w:val="00B713CB"/>
    <w:rsid w:val="00B714B6"/>
    <w:rsid w:val="00B71CAA"/>
    <w:rsid w:val="00B739F6"/>
    <w:rsid w:val="00B74A07"/>
    <w:rsid w:val="00B74E58"/>
    <w:rsid w:val="00B74F33"/>
    <w:rsid w:val="00B75414"/>
    <w:rsid w:val="00B76813"/>
    <w:rsid w:val="00B773EF"/>
    <w:rsid w:val="00B77858"/>
    <w:rsid w:val="00B77DC4"/>
    <w:rsid w:val="00B81A6C"/>
    <w:rsid w:val="00B8202F"/>
    <w:rsid w:val="00B834E9"/>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D07"/>
    <w:rsid w:val="00BB7FAE"/>
    <w:rsid w:val="00BC019E"/>
    <w:rsid w:val="00BC0FDC"/>
    <w:rsid w:val="00BC26FB"/>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2D69"/>
    <w:rsid w:val="00BD3374"/>
    <w:rsid w:val="00BD3FD5"/>
    <w:rsid w:val="00BD443D"/>
    <w:rsid w:val="00BD48AC"/>
    <w:rsid w:val="00BD4D68"/>
    <w:rsid w:val="00BD5942"/>
    <w:rsid w:val="00BD5F1A"/>
    <w:rsid w:val="00BD6059"/>
    <w:rsid w:val="00BD6CDD"/>
    <w:rsid w:val="00BD756F"/>
    <w:rsid w:val="00BE05B4"/>
    <w:rsid w:val="00BE061B"/>
    <w:rsid w:val="00BE07A3"/>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0D"/>
    <w:rsid w:val="00BF1FA2"/>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11D"/>
    <w:rsid w:val="00C279B5"/>
    <w:rsid w:val="00C27C45"/>
    <w:rsid w:val="00C31E08"/>
    <w:rsid w:val="00C3246F"/>
    <w:rsid w:val="00C327E1"/>
    <w:rsid w:val="00C329F3"/>
    <w:rsid w:val="00C33233"/>
    <w:rsid w:val="00C33C1E"/>
    <w:rsid w:val="00C345A5"/>
    <w:rsid w:val="00C345C8"/>
    <w:rsid w:val="00C34D86"/>
    <w:rsid w:val="00C35895"/>
    <w:rsid w:val="00C35DDC"/>
    <w:rsid w:val="00C3719D"/>
    <w:rsid w:val="00C37CB2"/>
    <w:rsid w:val="00C40FA7"/>
    <w:rsid w:val="00C426AF"/>
    <w:rsid w:val="00C43412"/>
    <w:rsid w:val="00C43C0B"/>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5883"/>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E7E"/>
    <w:rsid w:val="00C82F84"/>
    <w:rsid w:val="00C83FEA"/>
    <w:rsid w:val="00C84787"/>
    <w:rsid w:val="00C84D60"/>
    <w:rsid w:val="00C8503A"/>
    <w:rsid w:val="00C861FC"/>
    <w:rsid w:val="00C9027A"/>
    <w:rsid w:val="00C9068E"/>
    <w:rsid w:val="00C90F49"/>
    <w:rsid w:val="00C922EE"/>
    <w:rsid w:val="00C92801"/>
    <w:rsid w:val="00C92968"/>
    <w:rsid w:val="00C92F6B"/>
    <w:rsid w:val="00C934B8"/>
    <w:rsid w:val="00C93814"/>
    <w:rsid w:val="00C938E9"/>
    <w:rsid w:val="00C93C4B"/>
    <w:rsid w:val="00C944AB"/>
    <w:rsid w:val="00C94730"/>
    <w:rsid w:val="00C94E1C"/>
    <w:rsid w:val="00C9510A"/>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608"/>
    <w:rsid w:val="00CA7BAB"/>
    <w:rsid w:val="00CB01D7"/>
    <w:rsid w:val="00CB14BE"/>
    <w:rsid w:val="00CB1884"/>
    <w:rsid w:val="00CB1F63"/>
    <w:rsid w:val="00CB2996"/>
    <w:rsid w:val="00CB2C61"/>
    <w:rsid w:val="00CB3728"/>
    <w:rsid w:val="00CB391E"/>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0CE5"/>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7D6"/>
    <w:rsid w:val="00D25E03"/>
    <w:rsid w:val="00D263D5"/>
    <w:rsid w:val="00D27AB8"/>
    <w:rsid w:val="00D27C02"/>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2BCF"/>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FAB"/>
    <w:rsid w:val="00D823C6"/>
    <w:rsid w:val="00D8327F"/>
    <w:rsid w:val="00D83BE1"/>
    <w:rsid w:val="00D84228"/>
    <w:rsid w:val="00D8516F"/>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1CB"/>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3E88"/>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6BCC"/>
    <w:rsid w:val="00DE732B"/>
    <w:rsid w:val="00DE7E0E"/>
    <w:rsid w:val="00DF02EC"/>
    <w:rsid w:val="00DF0369"/>
    <w:rsid w:val="00DF0393"/>
    <w:rsid w:val="00DF06B1"/>
    <w:rsid w:val="00DF0B6E"/>
    <w:rsid w:val="00DF15E0"/>
    <w:rsid w:val="00DF182E"/>
    <w:rsid w:val="00DF3245"/>
    <w:rsid w:val="00DF37A0"/>
    <w:rsid w:val="00DF5DAD"/>
    <w:rsid w:val="00DF73CF"/>
    <w:rsid w:val="00E01D5E"/>
    <w:rsid w:val="00E0203B"/>
    <w:rsid w:val="00E02929"/>
    <w:rsid w:val="00E0355A"/>
    <w:rsid w:val="00E04332"/>
    <w:rsid w:val="00E049B4"/>
    <w:rsid w:val="00E04F6C"/>
    <w:rsid w:val="00E06BFB"/>
    <w:rsid w:val="00E06F7F"/>
    <w:rsid w:val="00E078F5"/>
    <w:rsid w:val="00E110E7"/>
    <w:rsid w:val="00E113CC"/>
    <w:rsid w:val="00E1189C"/>
    <w:rsid w:val="00E11B20"/>
    <w:rsid w:val="00E12471"/>
    <w:rsid w:val="00E12600"/>
    <w:rsid w:val="00E12664"/>
    <w:rsid w:val="00E12B95"/>
    <w:rsid w:val="00E1326B"/>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A4E"/>
    <w:rsid w:val="00E451E7"/>
    <w:rsid w:val="00E45C2B"/>
    <w:rsid w:val="00E46886"/>
    <w:rsid w:val="00E4708B"/>
    <w:rsid w:val="00E478CE"/>
    <w:rsid w:val="00E47A98"/>
    <w:rsid w:val="00E47AEF"/>
    <w:rsid w:val="00E50A11"/>
    <w:rsid w:val="00E524FF"/>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3C92"/>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5E18"/>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B38"/>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5DCE"/>
    <w:rsid w:val="00EE6295"/>
    <w:rsid w:val="00EE63A3"/>
    <w:rsid w:val="00EE6BDE"/>
    <w:rsid w:val="00EE741F"/>
    <w:rsid w:val="00EE75F6"/>
    <w:rsid w:val="00EF0074"/>
    <w:rsid w:val="00EF0529"/>
    <w:rsid w:val="00EF05B7"/>
    <w:rsid w:val="00EF0E40"/>
    <w:rsid w:val="00EF1410"/>
    <w:rsid w:val="00EF18FE"/>
    <w:rsid w:val="00EF1D49"/>
    <w:rsid w:val="00EF2067"/>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3379"/>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8DF"/>
    <w:rsid w:val="00F16ED2"/>
    <w:rsid w:val="00F17804"/>
    <w:rsid w:val="00F203E0"/>
    <w:rsid w:val="00F209B7"/>
    <w:rsid w:val="00F20BFB"/>
    <w:rsid w:val="00F21F3F"/>
    <w:rsid w:val="00F234C3"/>
    <w:rsid w:val="00F2376F"/>
    <w:rsid w:val="00F243D8"/>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90"/>
    <w:rsid w:val="00F519CE"/>
    <w:rsid w:val="00F51ADA"/>
    <w:rsid w:val="00F51D24"/>
    <w:rsid w:val="00F520A3"/>
    <w:rsid w:val="00F54349"/>
    <w:rsid w:val="00F566F1"/>
    <w:rsid w:val="00F56844"/>
    <w:rsid w:val="00F57709"/>
    <w:rsid w:val="00F601BA"/>
    <w:rsid w:val="00F60203"/>
    <w:rsid w:val="00F607C5"/>
    <w:rsid w:val="00F60CAE"/>
    <w:rsid w:val="00F60DEA"/>
    <w:rsid w:val="00F60E72"/>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B9"/>
    <w:rsid w:val="00F67EC6"/>
    <w:rsid w:val="00F67F53"/>
    <w:rsid w:val="00F703BE"/>
    <w:rsid w:val="00F709E3"/>
    <w:rsid w:val="00F71863"/>
    <w:rsid w:val="00F71F69"/>
    <w:rsid w:val="00F72695"/>
    <w:rsid w:val="00F72B72"/>
    <w:rsid w:val="00F72C58"/>
    <w:rsid w:val="00F74BB9"/>
    <w:rsid w:val="00F75582"/>
    <w:rsid w:val="00F76EFA"/>
    <w:rsid w:val="00F77307"/>
    <w:rsid w:val="00F80021"/>
    <w:rsid w:val="00F804BE"/>
    <w:rsid w:val="00F809F2"/>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5CE"/>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2C60"/>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7B1"/>
    <w:rsid w:val="00FB7C1F"/>
    <w:rsid w:val="00FB7CC6"/>
    <w:rsid w:val="00FC0863"/>
    <w:rsid w:val="00FC2619"/>
    <w:rsid w:val="00FC329E"/>
    <w:rsid w:val="00FC40E6"/>
    <w:rsid w:val="00FC4C3C"/>
    <w:rsid w:val="00FC5776"/>
    <w:rsid w:val="00FC7429"/>
    <w:rsid w:val="00FD004F"/>
    <w:rsid w:val="00FD07F6"/>
    <w:rsid w:val="00FD09C2"/>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B8D"/>
    <w:rsid w:val="00FF5C91"/>
    <w:rsid w:val="00FF66A2"/>
    <w:rsid w:val="17508BDD"/>
    <w:rsid w:val="238DF1E3"/>
    <w:rsid w:val="61051CA7"/>
    <w:rsid w:val="78D14F80"/>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95EBBDF2-D742-449E-99C7-3CA47A83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4157700">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62048251">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http://schemas.microsoft.com/office/2006/documentManagement/types"/>
    <ds:schemaRef ds:uri="http://purl.org/dc/elements/1.1/"/>
    <ds:schemaRef ds:uri="http://purl.org/dc/dcmitype/"/>
    <ds:schemaRef ds:uri="2f282d3b-eb4a-4b09-b61f-b9593442e286"/>
    <ds:schemaRef ds:uri="http://www.w3.org/XML/1998/namespace"/>
    <ds:schemaRef ds:uri="http://schemas.microsoft.com/office/infopath/2007/PartnerControls"/>
    <ds:schemaRef ds:uri="http://schemas.openxmlformats.org/package/2006/metadata/core-properties"/>
    <ds:schemaRef ds:uri="http://purl.org/dc/terms/"/>
    <ds:schemaRef ds:uri="http://schemas.microsoft.com/office/2006/metadata/properties"/>
    <ds:schemaRef ds:uri="d8762117-8292-4133-b1c7-eab5c6487cfd"/>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73A9C784-1190-45F3-9B40-D2F1FD0A3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1040</Words>
  <Characters>5718</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6745</CharactersWithSpaces>
  <SharedDoc>false</SharedDoc>
  <HyperlinkBase/>
  <HLinks>
    <vt:vector size="18" baseType="variant">
      <vt:variant>
        <vt:i4>1310768</vt:i4>
      </vt:variant>
      <vt:variant>
        <vt:i4>20</vt:i4>
      </vt:variant>
      <vt:variant>
        <vt:i4>0</vt:i4>
      </vt:variant>
      <vt:variant>
        <vt:i4>5</vt:i4>
      </vt:variant>
      <vt:variant>
        <vt:lpwstr/>
      </vt:variant>
      <vt:variant>
        <vt:lpwstr>_Toc115274347</vt:lpwstr>
      </vt:variant>
      <vt:variant>
        <vt:i4>1310768</vt:i4>
      </vt:variant>
      <vt:variant>
        <vt:i4>17</vt:i4>
      </vt:variant>
      <vt:variant>
        <vt:i4>0</vt:i4>
      </vt:variant>
      <vt:variant>
        <vt:i4>5</vt:i4>
      </vt:variant>
      <vt:variant>
        <vt:lpwstr/>
      </vt:variant>
      <vt:variant>
        <vt:lpwstr>_Toc115274346</vt:lpwstr>
      </vt:variant>
      <vt:variant>
        <vt:i4>1310768</vt:i4>
      </vt:variant>
      <vt:variant>
        <vt:i4>11</vt:i4>
      </vt:variant>
      <vt:variant>
        <vt:i4>0</vt:i4>
      </vt:variant>
      <vt:variant>
        <vt:i4>5</vt:i4>
      </vt:variant>
      <vt:variant>
        <vt:lpwstr/>
      </vt:variant>
      <vt:variant>
        <vt:lpwstr>_Toc115274340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2008-02-01T14:09:00Z</cp:lastPrinted>
  <dcterms:created xsi:type="dcterms:W3CDTF">2022-09-30T07:08:00Z</dcterms:created>
  <dcterms:modified xsi:type="dcterms:W3CDTF">2022-09-30T07:08:00Z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